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24B6C" w14:textId="77777777" w:rsidR="008740E7" w:rsidRDefault="00365AC3" w:rsidP="006F037B">
      <w:pPr>
        <w:spacing w:line="360" w:lineRule="auto"/>
        <w:jc w:val="both"/>
        <w:rPr>
          <w:rFonts w:ascii="Times New Roman" w:hAnsi="Times New Roman" w:cs="Times New Roman"/>
        </w:rPr>
      </w:pPr>
      <w:r w:rsidRPr="006F037B">
        <w:rPr>
          <w:rFonts w:ascii="Times New Roman" w:hAnsi="Times New Roman" w:cs="Times New Roman"/>
          <w:b/>
          <w:bCs/>
        </w:rPr>
        <w:t>Progetto di ricerca</w:t>
      </w:r>
      <w:r w:rsidR="008740E7">
        <w:rPr>
          <w:rFonts w:ascii="Times New Roman" w:hAnsi="Times New Roman" w:cs="Times New Roman"/>
          <w:b/>
          <w:bCs/>
        </w:rPr>
        <w:t xml:space="preserve"> </w:t>
      </w:r>
      <w:r w:rsidRPr="006F037B">
        <w:rPr>
          <w:rFonts w:ascii="Times New Roman" w:hAnsi="Times New Roman" w:cs="Times New Roman"/>
        </w:rPr>
        <w:t>Il progetto di ricerca di questo assegno rientra in un progetto finanziato dal Ministero del</w:t>
      </w:r>
      <w:r w:rsidR="002020BD" w:rsidRPr="006F037B">
        <w:rPr>
          <w:rFonts w:ascii="Times New Roman" w:hAnsi="Times New Roman" w:cs="Times New Roman"/>
        </w:rPr>
        <w:t xml:space="preserve">lo Sviluppo Economico </w:t>
      </w:r>
      <w:r w:rsidRPr="006F037B">
        <w:rPr>
          <w:rFonts w:ascii="Times New Roman" w:hAnsi="Times New Roman" w:cs="Times New Roman"/>
        </w:rPr>
        <w:t xml:space="preserve">(Progetto </w:t>
      </w:r>
      <w:proofErr w:type="spellStart"/>
      <w:r w:rsidR="006F037B" w:rsidRPr="006F037B">
        <w:rPr>
          <w:rFonts w:ascii="Times New Roman" w:hAnsi="Times New Roman" w:cs="Times New Roman"/>
        </w:rPr>
        <w:t>Ortholine</w:t>
      </w:r>
      <w:proofErr w:type="spellEnd"/>
      <w:r w:rsidRPr="006F037B">
        <w:rPr>
          <w:rFonts w:ascii="Times New Roman" w:hAnsi="Times New Roman" w:cs="Times New Roman"/>
        </w:rPr>
        <w:t>)</w:t>
      </w:r>
      <w:r w:rsidR="006F037B" w:rsidRPr="006F037B">
        <w:rPr>
          <w:rFonts w:ascii="Times New Roman" w:hAnsi="Times New Roman" w:cs="Times New Roman"/>
        </w:rPr>
        <w:t xml:space="preserve">, di cui uno degli obiettivi principali è </w:t>
      </w:r>
      <w:r w:rsidR="006F037B" w:rsidRPr="006F037B">
        <w:rPr>
          <w:rFonts w:ascii="Times New Roman" w:hAnsi="Times New Roman" w:cs="Times New Roman"/>
        </w:rPr>
        <w:t xml:space="preserve">Sviluppo di tecnologie e processi innovativi per </w:t>
      </w:r>
      <w:proofErr w:type="spellStart"/>
      <w:r w:rsidR="006F037B" w:rsidRPr="006F037B">
        <w:rPr>
          <w:rFonts w:ascii="Times New Roman" w:hAnsi="Times New Roman" w:cs="Times New Roman"/>
        </w:rPr>
        <w:t>coatings</w:t>
      </w:r>
      <w:proofErr w:type="spellEnd"/>
      <w:r w:rsidR="006F037B" w:rsidRPr="006F037B">
        <w:rPr>
          <w:rFonts w:ascii="Times New Roman" w:hAnsi="Times New Roman" w:cs="Times New Roman"/>
        </w:rPr>
        <w:t xml:space="preserve"> antibatterici per Titanio trabecolare, per la</w:t>
      </w:r>
      <w:r w:rsidR="006F037B" w:rsidRPr="006F037B">
        <w:rPr>
          <w:rFonts w:ascii="Times New Roman" w:hAnsi="Times New Roman" w:cs="Times New Roman"/>
        </w:rPr>
        <w:t xml:space="preserve"> </w:t>
      </w:r>
      <w:r w:rsidR="006F037B" w:rsidRPr="006F037B">
        <w:rPr>
          <w:rFonts w:ascii="Times New Roman" w:hAnsi="Times New Roman" w:cs="Times New Roman"/>
        </w:rPr>
        <w:t>messa sul mercato di una nuova generazione tecnologia dei suddetti prodotti che possano</w:t>
      </w:r>
      <w:r w:rsidR="006F037B" w:rsidRPr="006F037B">
        <w:rPr>
          <w:rFonts w:ascii="Times New Roman" w:hAnsi="Times New Roman" w:cs="Times New Roman"/>
        </w:rPr>
        <w:t xml:space="preserve"> </w:t>
      </w:r>
      <w:r w:rsidR="006F037B" w:rsidRPr="006F037B">
        <w:rPr>
          <w:rFonts w:ascii="Times New Roman" w:hAnsi="Times New Roman" w:cs="Times New Roman"/>
        </w:rPr>
        <w:t>prevenire l’i</w:t>
      </w:r>
      <w:r w:rsidR="006F037B" w:rsidRPr="006F037B">
        <w:rPr>
          <w:rFonts w:ascii="Times New Roman" w:hAnsi="Times New Roman" w:cs="Times New Roman"/>
        </w:rPr>
        <w:t>n</w:t>
      </w:r>
      <w:r w:rsidR="006F037B" w:rsidRPr="006F037B">
        <w:rPr>
          <w:rFonts w:ascii="Times New Roman" w:hAnsi="Times New Roman" w:cs="Times New Roman"/>
        </w:rPr>
        <w:t>sorgenza di infezioni.</w:t>
      </w:r>
      <w:r w:rsidR="008740E7">
        <w:rPr>
          <w:rFonts w:ascii="Times New Roman" w:hAnsi="Times New Roman" w:cs="Times New Roman"/>
        </w:rPr>
        <w:t xml:space="preserve"> </w:t>
      </w:r>
    </w:p>
    <w:p w14:paraId="52EF7448" w14:textId="2D0C104F" w:rsidR="00A65B9A" w:rsidRDefault="008740E7" w:rsidP="006F037B">
      <w:pPr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In particolare, questo progetto di ricerca </w:t>
      </w:r>
      <w:r>
        <w:rPr>
          <w:rFonts w:ascii="Times New Roman" w:hAnsi="Times New Roman" w:cs="Times New Roman"/>
          <w:sz w:val="23"/>
          <w:szCs w:val="23"/>
        </w:rPr>
        <w:t>riguarderà la messa a punto</w:t>
      </w:r>
      <w:r>
        <w:rPr>
          <w:rFonts w:ascii="Times New Roman" w:hAnsi="Times New Roman" w:cs="Times New Roman"/>
          <w:sz w:val="23"/>
          <w:szCs w:val="23"/>
        </w:rPr>
        <w:t xml:space="preserve"> di processi di derivatizzazione superficiale di Titanio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Trabecolare per il conferimento di proprietà antibatteriche mediante processi di </w:t>
      </w:r>
      <w:proofErr w:type="spellStart"/>
      <w:r>
        <w:rPr>
          <w:rFonts w:ascii="Times New Roman" w:hAnsi="Times New Roman" w:cs="Times New Roman"/>
          <w:sz w:val="23"/>
          <w:szCs w:val="23"/>
        </w:rPr>
        <w:t>nanostrutturazione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basati su </w:t>
      </w:r>
      <w:proofErr w:type="spellStart"/>
      <w:r>
        <w:rPr>
          <w:rFonts w:ascii="Times New Roman" w:hAnsi="Times New Roman" w:cs="Times New Roman"/>
          <w:sz w:val="23"/>
          <w:szCs w:val="23"/>
        </w:rPr>
        <w:t>strtture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ibride ZnO-MnO-SiO</w:t>
      </w:r>
      <w:r>
        <w:rPr>
          <w:rFonts w:ascii="Times New Roman" w:hAnsi="Times New Roman" w:cs="Times New Roman"/>
          <w:sz w:val="16"/>
          <w:szCs w:val="16"/>
        </w:rPr>
        <w:t>2</w:t>
      </w:r>
      <w:r>
        <w:rPr>
          <w:rFonts w:ascii="Times New Roman" w:hAnsi="Times New Roman" w:cs="Times New Roman"/>
          <w:sz w:val="23"/>
          <w:szCs w:val="23"/>
        </w:rPr>
        <w:t>.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Il rivestimento di protesi metalliche con fosfati di calcio, bioattivi e </w:t>
      </w:r>
      <w:proofErr w:type="spellStart"/>
      <w:r>
        <w:rPr>
          <w:rFonts w:ascii="Times New Roman" w:hAnsi="Times New Roman" w:cs="Times New Roman"/>
          <w:sz w:val="23"/>
          <w:szCs w:val="23"/>
        </w:rPr>
        <w:t>osteoconduttivi</w:t>
      </w:r>
      <w:proofErr w:type="spellEnd"/>
      <w:r>
        <w:rPr>
          <w:rFonts w:ascii="Times New Roman" w:hAnsi="Times New Roman" w:cs="Times New Roman"/>
          <w:sz w:val="23"/>
          <w:szCs w:val="23"/>
        </w:rPr>
        <w:t>, migliora la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biocompatibilità del materiale e promuove la fissazione dell’impianto all’osso in tempi rapidi. I metodi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</w:rPr>
        <w:t>biomimetici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consentono la deposizione di </w:t>
      </w:r>
      <w:proofErr w:type="spellStart"/>
      <w:r>
        <w:rPr>
          <w:rFonts w:ascii="Times New Roman" w:hAnsi="Times New Roman" w:cs="Times New Roman"/>
          <w:sz w:val="23"/>
          <w:szCs w:val="23"/>
        </w:rPr>
        <w:t>idrossiapatite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</w:rPr>
        <w:t>nanocristallina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a partire da soluzioni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</w:rPr>
        <w:t>sovrassature</w:t>
      </w:r>
      <w:proofErr w:type="spellEnd"/>
      <w:r>
        <w:rPr>
          <w:rFonts w:ascii="Times New Roman" w:hAnsi="Times New Roman" w:cs="Times New Roman"/>
          <w:sz w:val="23"/>
          <w:szCs w:val="23"/>
        </w:rPr>
        <w:t>, con concentrazioni ioniche vicine a quelle del plasma umano e a valori di temperatura e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pH molto vicini a quelli fisiologici. La prima formulazione di Soluzione calcificante (SBF, </w:t>
      </w:r>
      <w:proofErr w:type="spellStart"/>
      <w:r>
        <w:rPr>
          <w:rFonts w:ascii="Times New Roman" w:hAnsi="Times New Roman" w:cs="Times New Roman"/>
          <w:sz w:val="23"/>
          <w:szCs w:val="23"/>
        </w:rPr>
        <w:t>Simulated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Body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</w:rPr>
        <w:t>Fluid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) è stata proposta da </w:t>
      </w:r>
      <w:proofErr w:type="spellStart"/>
      <w:r>
        <w:rPr>
          <w:rFonts w:ascii="Times New Roman" w:hAnsi="Times New Roman" w:cs="Times New Roman"/>
          <w:sz w:val="23"/>
          <w:szCs w:val="23"/>
        </w:rPr>
        <w:t>Kokubo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nel 1989</w:t>
      </w:r>
      <w:r>
        <w:rPr>
          <w:rFonts w:ascii="Times New Roman" w:hAnsi="Times New Roman" w:cs="Times New Roman"/>
          <w:sz w:val="23"/>
          <w:szCs w:val="23"/>
        </w:rPr>
        <w:t>;</w:t>
      </w:r>
      <w:r w:rsidR="00587C0C">
        <w:rPr>
          <w:rFonts w:ascii="Times New Roman" w:hAnsi="Times New Roman" w:cs="Times New Roman"/>
          <w:sz w:val="23"/>
          <w:szCs w:val="23"/>
          <w:vertAlign w:val="superscript"/>
        </w:rPr>
        <w:t>1</w:t>
      </w:r>
      <w:r>
        <w:rPr>
          <w:rFonts w:ascii="Times New Roman" w:hAnsi="Times New Roman" w:cs="Times New Roman"/>
          <w:sz w:val="23"/>
          <w:szCs w:val="23"/>
        </w:rPr>
        <w:t xml:space="preserve"> da allora diverse modifiche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sono state apportate alla soluzione in modo da diminuire i tempi necessari per il ricoprimento di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superfici con </w:t>
      </w:r>
      <w:proofErr w:type="spellStart"/>
      <w:r>
        <w:rPr>
          <w:rFonts w:ascii="Times New Roman" w:hAnsi="Times New Roman" w:cs="Times New Roman"/>
          <w:sz w:val="23"/>
          <w:szCs w:val="23"/>
        </w:rPr>
        <w:t>idrossiapatite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e aumentare lo spessore del rivestimento. Nel laboratorio di Biomimetica e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Chimica dei materiali del Dipartimento di Chimica Ciamician è stata messa a punto una soluzione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calcificante,</w:t>
      </w:r>
      <w:r w:rsidR="00587C0C">
        <w:rPr>
          <w:rFonts w:ascii="Times New Roman" w:hAnsi="Times New Roman" w:cs="Times New Roman"/>
          <w:sz w:val="23"/>
          <w:szCs w:val="23"/>
          <w:vertAlign w:val="superscript"/>
        </w:rPr>
        <w:t>2</w:t>
      </w:r>
      <w:r>
        <w:rPr>
          <w:rFonts w:ascii="Times New Roman" w:hAnsi="Times New Roman" w:cs="Times New Roman"/>
          <w:sz w:val="23"/>
          <w:szCs w:val="23"/>
        </w:rPr>
        <w:t xml:space="preserve"> la cui formulazione è semplificata rispetto a quanto proposto da </w:t>
      </w:r>
      <w:proofErr w:type="spellStart"/>
      <w:r>
        <w:rPr>
          <w:rFonts w:ascii="Times New Roman" w:hAnsi="Times New Roman" w:cs="Times New Roman"/>
          <w:sz w:val="23"/>
          <w:szCs w:val="23"/>
        </w:rPr>
        <w:t>Kokubo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et al. che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permette di rivestire substrati a base di Ti6Al4V, anche di forma complessa, in poche ore. Il vantaggio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del metodo </w:t>
      </w:r>
      <w:proofErr w:type="spellStart"/>
      <w:r>
        <w:rPr>
          <w:rFonts w:ascii="Times New Roman" w:hAnsi="Times New Roman" w:cs="Times New Roman"/>
          <w:sz w:val="23"/>
          <w:szCs w:val="23"/>
        </w:rPr>
        <w:t>biomimetico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consiste nel fatto che la composizione della soluzione può essere arricchita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con l’introduzione di ioni (quali stronzio, magnesio, manganese, zinco, carbonato) o molecole di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particolare interesse biologico (ad esempio, Bovine </w:t>
      </w:r>
      <w:proofErr w:type="spellStart"/>
      <w:r>
        <w:rPr>
          <w:rFonts w:ascii="Times New Roman" w:hAnsi="Times New Roman" w:cs="Times New Roman"/>
          <w:sz w:val="23"/>
          <w:szCs w:val="23"/>
        </w:rPr>
        <w:t>Serum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Albumine, Bone </w:t>
      </w:r>
      <w:proofErr w:type="spellStart"/>
      <w:r>
        <w:rPr>
          <w:rFonts w:ascii="Times New Roman" w:hAnsi="Times New Roman" w:cs="Times New Roman"/>
          <w:sz w:val="23"/>
          <w:szCs w:val="23"/>
        </w:rPr>
        <w:t>morphogenetic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</w:rPr>
        <w:t>Proteins</w:t>
      </w:r>
      <w:proofErr w:type="spellEnd"/>
      <w:r>
        <w:rPr>
          <w:rFonts w:ascii="Times New Roman" w:hAnsi="Times New Roman" w:cs="Times New Roman"/>
          <w:sz w:val="23"/>
          <w:szCs w:val="23"/>
        </w:rPr>
        <w:t>,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</w:rPr>
        <w:t>Growth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</w:rPr>
        <w:t>Factors</w:t>
      </w:r>
      <w:proofErr w:type="spellEnd"/>
      <w:r>
        <w:rPr>
          <w:rFonts w:ascii="Times New Roman" w:hAnsi="Times New Roman" w:cs="Times New Roman"/>
          <w:sz w:val="23"/>
          <w:szCs w:val="23"/>
        </w:rPr>
        <w:t>), che sono co-precipitate insieme all’</w:t>
      </w:r>
      <w:proofErr w:type="spellStart"/>
      <w:r>
        <w:rPr>
          <w:rFonts w:ascii="Times New Roman" w:hAnsi="Times New Roman" w:cs="Times New Roman"/>
          <w:sz w:val="23"/>
          <w:szCs w:val="23"/>
        </w:rPr>
        <w:t>idrossiapatite</w:t>
      </w:r>
      <w:proofErr w:type="spellEnd"/>
      <w:r>
        <w:rPr>
          <w:rFonts w:ascii="Times New Roman" w:hAnsi="Times New Roman" w:cs="Times New Roman"/>
          <w:sz w:val="23"/>
          <w:szCs w:val="23"/>
        </w:rPr>
        <w:t>. Tale metodo può essere facilmente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applicato per il rivestimento anche di superfici metalliche di forma complessa o porose, quali il titanio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trabecolare (Figura </w:t>
      </w:r>
      <w:r w:rsidR="00A65B9A">
        <w:rPr>
          <w:rFonts w:ascii="Times New Roman" w:hAnsi="Times New Roman" w:cs="Times New Roman"/>
          <w:sz w:val="23"/>
          <w:szCs w:val="23"/>
        </w:rPr>
        <w:t>1</w:t>
      </w:r>
      <w:r>
        <w:rPr>
          <w:rFonts w:ascii="Times New Roman" w:hAnsi="Times New Roman" w:cs="Times New Roman"/>
          <w:sz w:val="23"/>
          <w:szCs w:val="23"/>
        </w:rPr>
        <w:t xml:space="preserve">). </w:t>
      </w:r>
    </w:p>
    <w:p w14:paraId="6A67535D" w14:textId="7703CD70" w:rsidR="00A65B9A" w:rsidRPr="00A65B9A" w:rsidRDefault="00A65B9A" w:rsidP="00A65B9A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F037B">
        <w:rPr>
          <w:rFonts w:ascii="Times New Roman" w:hAnsi="Times New Roman" w:cs="Times New Roman"/>
        </w:rPr>
        <w:drawing>
          <wp:inline distT="0" distB="0" distL="0" distR="0" wp14:anchorId="27941E55" wp14:editId="785C6BDB">
            <wp:extent cx="6019800" cy="17272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5B9A">
        <w:rPr>
          <w:rFonts w:ascii="Times New Roman" w:hAnsi="Times New Roman" w:cs="Times New Roman"/>
          <w:sz w:val="20"/>
          <w:szCs w:val="20"/>
        </w:rPr>
        <w:t>Figura 1 - Struttura Titanio Trabecolare</w:t>
      </w:r>
    </w:p>
    <w:p w14:paraId="4EDDFAC0" w14:textId="71EEA1AA" w:rsidR="000A35E8" w:rsidRPr="00587C0C" w:rsidRDefault="008740E7" w:rsidP="000A35E8">
      <w:pPr>
        <w:spacing w:line="360" w:lineRule="auto"/>
        <w:jc w:val="both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sz w:val="23"/>
          <w:szCs w:val="23"/>
        </w:rPr>
        <w:t>Per ottenere un rivestimento con caratteristiche antibatteriche, la soluzione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soprassatura sarà arricchita con ioni zinco e manganese, in quantità variabili. In particolare,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l’incorporazione dello zinco nell’</w:t>
      </w:r>
      <w:proofErr w:type="spellStart"/>
      <w:r>
        <w:rPr>
          <w:rFonts w:ascii="Times New Roman" w:hAnsi="Times New Roman" w:cs="Times New Roman"/>
          <w:sz w:val="23"/>
          <w:szCs w:val="23"/>
        </w:rPr>
        <w:t>idrossiapatite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può migliorare le sue proprietà meccaniche, la risposta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biologica e la </w:t>
      </w:r>
      <w:proofErr w:type="spellStart"/>
      <w:r>
        <w:rPr>
          <w:rFonts w:ascii="Times New Roman" w:hAnsi="Times New Roman" w:cs="Times New Roman"/>
          <w:sz w:val="23"/>
          <w:szCs w:val="23"/>
        </w:rPr>
        <w:t>osteointegrazione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e indurre proprietà antimicrobiche e antifungine, che risultano assenti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nell’</w:t>
      </w:r>
      <w:proofErr w:type="spellStart"/>
      <w:r>
        <w:rPr>
          <w:rFonts w:ascii="Times New Roman" w:hAnsi="Times New Roman" w:cs="Times New Roman"/>
          <w:sz w:val="23"/>
          <w:szCs w:val="23"/>
        </w:rPr>
        <w:t>idrossiapatite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non dopata.</w:t>
      </w:r>
      <w:r w:rsidR="00587C0C">
        <w:rPr>
          <w:rFonts w:ascii="Times New Roman" w:hAnsi="Times New Roman" w:cs="Times New Roman"/>
          <w:sz w:val="23"/>
          <w:szCs w:val="23"/>
          <w:vertAlign w:val="superscript"/>
        </w:rPr>
        <w:t>3</w:t>
      </w:r>
      <w:r>
        <w:rPr>
          <w:rFonts w:ascii="Times New Roman" w:hAnsi="Times New Roman" w:cs="Times New Roman"/>
          <w:sz w:val="23"/>
          <w:szCs w:val="23"/>
        </w:rPr>
        <w:t xml:space="preserve"> Una </w:t>
      </w:r>
      <w:r>
        <w:rPr>
          <w:rFonts w:ascii="Times New Roman" w:hAnsi="Times New Roman" w:cs="Times New Roman"/>
          <w:sz w:val="23"/>
          <w:szCs w:val="23"/>
        </w:rPr>
        <w:lastRenderedPageBreak/>
        <w:t>bassa concentrazione di zinco è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desiderabile perché non induce cambiamenti di fase o abbassamenti di cristallinità nella </w:t>
      </w:r>
      <w:proofErr w:type="spellStart"/>
      <w:r>
        <w:rPr>
          <w:rFonts w:ascii="Times New Roman" w:hAnsi="Times New Roman" w:cs="Times New Roman"/>
          <w:sz w:val="23"/>
          <w:szCs w:val="23"/>
        </w:rPr>
        <w:t>idrossiapatite</w:t>
      </w:r>
      <w:proofErr w:type="spellEnd"/>
      <w:r>
        <w:rPr>
          <w:rFonts w:ascii="Times New Roman" w:hAnsi="Times New Roman" w:cs="Times New Roman"/>
          <w:sz w:val="23"/>
          <w:szCs w:val="23"/>
        </w:rPr>
        <w:t>.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L’attività antibatterica indotta dagli ioni </w:t>
      </w:r>
      <w:r w:rsidR="004426DA">
        <w:rPr>
          <w:rFonts w:ascii="Times New Roman" w:hAnsi="Times New Roman" w:cs="Times New Roman"/>
          <w:sz w:val="23"/>
          <w:szCs w:val="23"/>
        </w:rPr>
        <w:t>Zn</w:t>
      </w:r>
      <w:r w:rsidR="004426DA" w:rsidRPr="004426DA">
        <w:rPr>
          <w:rFonts w:ascii="Times New Roman" w:hAnsi="Times New Roman" w:cs="Times New Roman"/>
          <w:sz w:val="23"/>
          <w:szCs w:val="23"/>
          <w:vertAlign w:val="superscript"/>
        </w:rPr>
        <w:t>2+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è legata alla loro concentrazione, ma anche alla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omogeneità della loro dispersione nella matrice di </w:t>
      </w:r>
      <w:proofErr w:type="spellStart"/>
      <w:r>
        <w:rPr>
          <w:rFonts w:ascii="Times New Roman" w:hAnsi="Times New Roman" w:cs="Times New Roman"/>
          <w:sz w:val="23"/>
          <w:szCs w:val="23"/>
        </w:rPr>
        <w:t>idrossiapatite</w:t>
      </w:r>
      <w:proofErr w:type="spellEnd"/>
      <w:r>
        <w:rPr>
          <w:rFonts w:ascii="Times New Roman" w:hAnsi="Times New Roman" w:cs="Times New Roman"/>
          <w:sz w:val="23"/>
          <w:szCs w:val="23"/>
        </w:rPr>
        <w:t>. La fase ottenuta sarà caratterizzata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mediante diffrazione di raggi X e microscopia elettronica a scansione e trasmissione. La quantità di ioni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zinco e manganese incorporati verrà valutata mediante assorbimento atomico. La stessa tecnica sarà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utilizzata anche per monitorare il rilascio di tali ioni in soluzione fisiologica.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Oltre all’incorporazione di ioni Z</w:t>
      </w:r>
      <w:r w:rsidR="004426DA">
        <w:rPr>
          <w:rFonts w:ascii="Times New Roman" w:hAnsi="Times New Roman" w:cs="Times New Roman"/>
          <w:sz w:val="23"/>
          <w:szCs w:val="23"/>
        </w:rPr>
        <w:t>n</w:t>
      </w:r>
      <w:r w:rsidR="004426DA" w:rsidRPr="004426DA">
        <w:rPr>
          <w:rFonts w:ascii="Times New Roman" w:hAnsi="Times New Roman" w:cs="Times New Roman"/>
          <w:sz w:val="23"/>
          <w:szCs w:val="23"/>
          <w:vertAlign w:val="superscript"/>
        </w:rPr>
        <w:t>2+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verrà investigata la possibilità di introdurre nanoparticelle di </w:t>
      </w:r>
      <w:proofErr w:type="spellStart"/>
      <w:r>
        <w:rPr>
          <w:rFonts w:ascii="Times New Roman" w:hAnsi="Times New Roman" w:cs="Times New Roman"/>
          <w:sz w:val="23"/>
          <w:szCs w:val="23"/>
        </w:rPr>
        <w:t>ZnO</w:t>
      </w:r>
      <w:proofErr w:type="spellEnd"/>
      <w:r>
        <w:rPr>
          <w:rFonts w:ascii="Times New Roman" w:hAnsi="Times New Roman" w:cs="Times New Roman"/>
          <w:sz w:val="23"/>
          <w:szCs w:val="23"/>
        </w:rPr>
        <w:t>.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Le nanoparticelle di </w:t>
      </w:r>
      <w:proofErr w:type="spellStart"/>
      <w:r>
        <w:rPr>
          <w:rFonts w:ascii="Times New Roman" w:hAnsi="Times New Roman" w:cs="Times New Roman"/>
          <w:sz w:val="23"/>
          <w:szCs w:val="23"/>
        </w:rPr>
        <w:t>ZnO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agiscono come antimicrobici attraverso tre principali meccanismi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(danneggiamento della membrana cellulare, rilascio di ioni </w:t>
      </w:r>
      <w:r w:rsidR="004426DA">
        <w:rPr>
          <w:rFonts w:ascii="Times New Roman" w:hAnsi="Times New Roman" w:cs="Times New Roman"/>
          <w:sz w:val="23"/>
          <w:szCs w:val="23"/>
        </w:rPr>
        <w:t>Zn</w:t>
      </w:r>
      <w:r w:rsidR="004426DA" w:rsidRPr="004426DA">
        <w:rPr>
          <w:rFonts w:ascii="Times New Roman" w:hAnsi="Times New Roman" w:cs="Times New Roman"/>
          <w:sz w:val="23"/>
          <w:szCs w:val="23"/>
          <w:vertAlign w:val="superscript"/>
        </w:rPr>
        <w:t>2+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e generazione di specie reattive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all’ossigeno (ROS)</w:t>
      </w:r>
      <w:r w:rsidR="000A35E8">
        <w:rPr>
          <w:rFonts w:ascii="Times New Roman" w:hAnsi="Times New Roman" w:cs="Times New Roman"/>
          <w:sz w:val="23"/>
          <w:szCs w:val="23"/>
        </w:rPr>
        <w:t>.</w:t>
      </w:r>
      <w:r w:rsidR="00587C0C">
        <w:rPr>
          <w:rFonts w:ascii="Times New Roman" w:hAnsi="Times New Roman" w:cs="Times New Roman"/>
          <w:sz w:val="23"/>
          <w:szCs w:val="23"/>
          <w:vertAlign w:val="superscript"/>
        </w:rPr>
        <w:t>4-7</w:t>
      </w:r>
    </w:p>
    <w:p w14:paraId="60F3DCAA" w14:textId="49177FA6" w:rsidR="00773D94" w:rsidRDefault="008740E7" w:rsidP="000A35E8">
      <w:pPr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</w:rPr>
        <w:t xml:space="preserve"> </w:t>
      </w:r>
      <w:r w:rsidR="000A35E8">
        <w:rPr>
          <w:rFonts w:ascii="Times New Roman" w:hAnsi="Times New Roman" w:cs="Times New Roman"/>
          <w:sz w:val="23"/>
          <w:szCs w:val="23"/>
        </w:rPr>
        <w:t xml:space="preserve">La formazione di ROS sembra esser il processo dominante – specialmente in presenza di luce - e questo rende le nanoparticelle di </w:t>
      </w:r>
      <w:proofErr w:type="spellStart"/>
      <w:r w:rsidR="000A35E8">
        <w:rPr>
          <w:rFonts w:ascii="Times New Roman" w:hAnsi="Times New Roman" w:cs="Times New Roman"/>
          <w:sz w:val="23"/>
          <w:szCs w:val="23"/>
        </w:rPr>
        <w:t>ZnO</w:t>
      </w:r>
      <w:proofErr w:type="spellEnd"/>
      <w:r w:rsidR="000A35E8">
        <w:rPr>
          <w:rFonts w:ascii="Times New Roman" w:hAnsi="Times New Roman" w:cs="Times New Roman"/>
          <w:sz w:val="23"/>
          <w:szCs w:val="23"/>
        </w:rPr>
        <w:t xml:space="preserve"> delle strutture che permettono di controllare la crescita di batteri antibioticoresistenti. Verrà valutata l’influenza di tali nanostrutture sulle proprietà meccaniche, ottimizzando questi aspetti e quelli legati alla capacità antibiotica indotta nella matrice. Queste caratteristiche dipendono infatti sia dalla quantità di nanoparticelle di </w:t>
      </w:r>
      <w:proofErr w:type="spellStart"/>
      <w:r w:rsidR="000A35E8">
        <w:rPr>
          <w:rFonts w:ascii="Times New Roman" w:hAnsi="Times New Roman" w:cs="Times New Roman"/>
          <w:sz w:val="23"/>
          <w:szCs w:val="23"/>
        </w:rPr>
        <w:t>ZnO</w:t>
      </w:r>
      <w:proofErr w:type="spellEnd"/>
      <w:r w:rsidR="000A35E8">
        <w:rPr>
          <w:rFonts w:ascii="Times New Roman" w:hAnsi="Times New Roman" w:cs="Times New Roman"/>
          <w:sz w:val="23"/>
          <w:szCs w:val="23"/>
        </w:rPr>
        <w:t xml:space="preserve"> introdotte ma anche dalle loro dimensioni. Verranno utilizzate sia nanoparticelle di </w:t>
      </w:r>
      <w:proofErr w:type="spellStart"/>
      <w:r w:rsidR="000A35E8">
        <w:rPr>
          <w:rFonts w:ascii="Times New Roman" w:hAnsi="Times New Roman" w:cs="Times New Roman"/>
          <w:sz w:val="23"/>
          <w:szCs w:val="23"/>
        </w:rPr>
        <w:t>ZnO</w:t>
      </w:r>
      <w:proofErr w:type="spellEnd"/>
      <w:r w:rsidR="000A35E8">
        <w:rPr>
          <w:rFonts w:ascii="Times New Roman" w:hAnsi="Times New Roman" w:cs="Times New Roman"/>
          <w:sz w:val="23"/>
          <w:szCs w:val="23"/>
        </w:rPr>
        <w:t xml:space="preserve"> commerciali ed eventualmente sistemi </w:t>
      </w:r>
      <w:proofErr w:type="spellStart"/>
      <w:r w:rsidR="000A35E8">
        <w:rPr>
          <w:rFonts w:ascii="Times New Roman" w:hAnsi="Times New Roman" w:cs="Times New Roman"/>
          <w:sz w:val="23"/>
          <w:szCs w:val="23"/>
        </w:rPr>
        <w:t>ZnO</w:t>
      </w:r>
      <w:proofErr w:type="spellEnd"/>
      <w:r w:rsidR="000A35E8">
        <w:rPr>
          <w:rFonts w:ascii="Times New Roman" w:hAnsi="Times New Roman" w:cs="Times New Roman"/>
          <w:sz w:val="23"/>
          <w:szCs w:val="23"/>
        </w:rPr>
        <w:t xml:space="preserve"> – </w:t>
      </w:r>
      <w:proofErr w:type="spellStart"/>
      <w:r w:rsidR="000A35E8">
        <w:rPr>
          <w:rFonts w:ascii="Times New Roman" w:hAnsi="Times New Roman" w:cs="Times New Roman"/>
          <w:sz w:val="23"/>
          <w:szCs w:val="23"/>
        </w:rPr>
        <w:t>idrossiapatite</w:t>
      </w:r>
      <w:proofErr w:type="spellEnd"/>
      <w:r w:rsidR="000A35E8">
        <w:rPr>
          <w:rFonts w:ascii="Times New Roman" w:hAnsi="Times New Roman" w:cs="Times New Roman"/>
          <w:sz w:val="23"/>
          <w:szCs w:val="23"/>
        </w:rPr>
        <w:t xml:space="preserve"> sintetizzati medianti procedure sol-gel. Verranno investigate anche altre possibili soluzioni per dotare di attività antibatterica le matrici </w:t>
      </w:r>
      <w:proofErr w:type="spellStart"/>
      <w:r w:rsidR="000A35E8">
        <w:rPr>
          <w:rFonts w:ascii="Times New Roman" w:hAnsi="Times New Roman" w:cs="Times New Roman"/>
          <w:sz w:val="23"/>
          <w:szCs w:val="23"/>
        </w:rPr>
        <w:t>biomimetiche</w:t>
      </w:r>
      <w:proofErr w:type="spellEnd"/>
      <w:r w:rsidR="000A35E8">
        <w:rPr>
          <w:rFonts w:ascii="Times New Roman" w:hAnsi="Times New Roman" w:cs="Times New Roman"/>
          <w:sz w:val="23"/>
          <w:szCs w:val="23"/>
        </w:rPr>
        <w:t xml:space="preserve">. Tali strategie prevedranno l’introduzione di specie molecolari in grado di generare ROS in risposta all’assorbimento di luce di adeguata lunghezza d’onda tramite i processi alla base della terapia fotodinamica (Photo </w:t>
      </w:r>
      <w:proofErr w:type="spellStart"/>
      <w:r w:rsidR="000A35E8">
        <w:rPr>
          <w:rFonts w:ascii="Times New Roman" w:hAnsi="Times New Roman" w:cs="Times New Roman"/>
          <w:sz w:val="23"/>
          <w:szCs w:val="23"/>
        </w:rPr>
        <w:t>Dynamic</w:t>
      </w:r>
      <w:proofErr w:type="spellEnd"/>
      <w:r w:rsidR="000A35E8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0A35E8">
        <w:rPr>
          <w:rFonts w:ascii="Times New Roman" w:hAnsi="Times New Roman" w:cs="Times New Roman"/>
          <w:sz w:val="23"/>
          <w:szCs w:val="23"/>
        </w:rPr>
        <w:t>Therapy</w:t>
      </w:r>
      <w:proofErr w:type="spellEnd"/>
      <w:r w:rsidR="000A35E8">
        <w:rPr>
          <w:rFonts w:ascii="Times New Roman" w:hAnsi="Times New Roman" w:cs="Times New Roman"/>
          <w:sz w:val="23"/>
          <w:szCs w:val="23"/>
        </w:rPr>
        <w:t>, PDT).</w:t>
      </w:r>
      <w:r w:rsidR="00587C0C">
        <w:rPr>
          <w:rFonts w:ascii="Times New Roman" w:hAnsi="Times New Roman" w:cs="Times New Roman"/>
          <w:sz w:val="23"/>
          <w:szCs w:val="23"/>
          <w:vertAlign w:val="superscript"/>
        </w:rPr>
        <w:t>8-10</w:t>
      </w:r>
      <w:r w:rsidR="000A35E8">
        <w:rPr>
          <w:rFonts w:ascii="Times New Roman" w:hAnsi="Times New Roman" w:cs="Times New Roman"/>
          <w:sz w:val="23"/>
          <w:szCs w:val="23"/>
        </w:rPr>
        <w:t xml:space="preserve"> Per conferire caratteristiche antibatteriche al rivestimento si utilizzeranno derivati di porfirine già approvate per l’utilizzo in fase clinica della terapia fotodinamica (</w:t>
      </w:r>
      <w:proofErr w:type="spellStart"/>
      <w:r w:rsidR="000A35E8">
        <w:rPr>
          <w:rFonts w:ascii="Times New Roman" w:hAnsi="Times New Roman" w:cs="Times New Roman"/>
          <w:sz w:val="23"/>
          <w:szCs w:val="23"/>
        </w:rPr>
        <w:t>Photofrin</w:t>
      </w:r>
      <w:proofErr w:type="spellEnd"/>
      <w:r w:rsidR="000A35E8">
        <w:rPr>
          <w:rFonts w:ascii="Times New Roman" w:hAnsi="Times New Roman" w:cs="Times New Roman"/>
          <w:sz w:val="23"/>
          <w:szCs w:val="23"/>
        </w:rPr>
        <w:t xml:space="preserve">; </w:t>
      </w:r>
      <w:proofErr w:type="spellStart"/>
      <w:r w:rsidR="000A35E8">
        <w:rPr>
          <w:rFonts w:ascii="Times New Roman" w:hAnsi="Times New Roman" w:cs="Times New Roman"/>
          <w:sz w:val="23"/>
          <w:szCs w:val="23"/>
        </w:rPr>
        <w:t>Verteporfin</w:t>
      </w:r>
      <w:proofErr w:type="spellEnd"/>
      <w:r w:rsidR="000A35E8">
        <w:rPr>
          <w:rFonts w:ascii="Times New Roman" w:hAnsi="Times New Roman" w:cs="Times New Roman"/>
          <w:sz w:val="23"/>
          <w:szCs w:val="23"/>
        </w:rPr>
        <w:t xml:space="preserve">). Tali specie verranno adsorbite sulla matrice </w:t>
      </w:r>
      <w:proofErr w:type="spellStart"/>
      <w:r w:rsidR="000A35E8">
        <w:rPr>
          <w:rFonts w:ascii="Times New Roman" w:hAnsi="Times New Roman" w:cs="Times New Roman"/>
          <w:sz w:val="23"/>
          <w:szCs w:val="23"/>
        </w:rPr>
        <w:t>biomimetica</w:t>
      </w:r>
      <w:proofErr w:type="spellEnd"/>
      <w:r w:rsidR="000A35E8">
        <w:rPr>
          <w:rFonts w:ascii="Times New Roman" w:hAnsi="Times New Roman" w:cs="Times New Roman"/>
          <w:sz w:val="23"/>
          <w:szCs w:val="23"/>
        </w:rPr>
        <w:t xml:space="preserve"> grazie alla presenza di gruppi carbossilici ed eventualmente legate covalentemente dopo opportuna derivatizzazione con funzionalità</w:t>
      </w:r>
      <w:r w:rsidR="000A35E8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0A35E8" w:rsidRPr="000A35E8">
        <w:rPr>
          <w:rFonts w:ascii="Times New Roman" w:hAnsi="Times New Roman" w:cs="Times New Roman"/>
          <w:sz w:val="23"/>
          <w:szCs w:val="23"/>
        </w:rPr>
        <w:t>trialcossililano</w:t>
      </w:r>
      <w:proofErr w:type="spellEnd"/>
      <w:r w:rsidR="000A35E8" w:rsidRPr="000A35E8">
        <w:rPr>
          <w:rFonts w:ascii="Times New Roman" w:hAnsi="Times New Roman" w:cs="Times New Roman"/>
          <w:sz w:val="23"/>
          <w:szCs w:val="23"/>
        </w:rPr>
        <w:t>. Parallelamente esploreremo anche gli eventuali vantaggi in termini di stabilità e di efficienza del sistema legando nanoparticelle di silice</w:t>
      </w:r>
      <w:r w:rsidR="00587C0C" w:rsidRPr="00587C0C">
        <w:rPr>
          <w:rStyle w:val="Rimandonotadichiusura"/>
          <w:rFonts w:ascii="Times New Roman" w:hAnsi="Times New Roman" w:cs="Times New Roman"/>
          <w:sz w:val="23"/>
          <w:szCs w:val="23"/>
        </w:rPr>
        <w:t>1</w:t>
      </w:r>
      <w:r w:rsidR="00587C0C" w:rsidRPr="00587C0C">
        <w:rPr>
          <w:rFonts w:ascii="Times New Roman" w:hAnsi="Times New Roman" w:cs="Times New Roman"/>
          <w:sz w:val="23"/>
          <w:szCs w:val="23"/>
          <w:vertAlign w:val="superscript"/>
        </w:rPr>
        <w:t>1</w:t>
      </w:r>
      <w:r w:rsidR="000A35E8" w:rsidRPr="000A35E8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0A35E8" w:rsidRPr="000A35E8">
        <w:rPr>
          <w:rFonts w:ascii="Times New Roman" w:hAnsi="Times New Roman" w:cs="Times New Roman"/>
          <w:sz w:val="23"/>
          <w:szCs w:val="23"/>
        </w:rPr>
        <w:t>derivatizzate</w:t>
      </w:r>
      <w:proofErr w:type="spellEnd"/>
      <w:r w:rsidR="000A35E8" w:rsidRPr="000A35E8">
        <w:rPr>
          <w:rFonts w:ascii="Times New Roman" w:hAnsi="Times New Roman" w:cs="Times New Roman"/>
          <w:sz w:val="23"/>
          <w:szCs w:val="23"/>
        </w:rPr>
        <w:t xml:space="preserve"> covalentemente (sia al loro interno che sulla superficie) con i foto sensibilizzatori a base porfirinica appena descritti</w:t>
      </w:r>
      <w:r w:rsidR="000A35E8">
        <w:rPr>
          <w:rFonts w:ascii="Times New Roman" w:hAnsi="Times New Roman" w:cs="Times New Roman"/>
          <w:sz w:val="23"/>
          <w:szCs w:val="23"/>
        </w:rPr>
        <w:t>.</w:t>
      </w:r>
    </w:p>
    <w:p w14:paraId="10858618" w14:textId="77777777" w:rsidR="00961595" w:rsidRDefault="00961595" w:rsidP="000A35E8">
      <w:pPr>
        <w:spacing w:line="36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14:paraId="66D242C3" w14:textId="2D9D8F0C" w:rsidR="000A35E8" w:rsidRPr="00587C0C" w:rsidRDefault="000A35E8" w:rsidP="000A35E8">
      <w:pPr>
        <w:spacing w:line="36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 w:rsidRPr="00587C0C">
        <w:rPr>
          <w:rFonts w:ascii="Times New Roman" w:hAnsi="Times New Roman" w:cs="Times New Roman"/>
          <w:b/>
          <w:bCs/>
          <w:sz w:val="23"/>
          <w:szCs w:val="23"/>
        </w:rPr>
        <w:t>Bibliografia</w:t>
      </w:r>
    </w:p>
    <w:p w14:paraId="34F07EAE" w14:textId="2DC2FB20" w:rsidR="00587C0C" w:rsidRPr="00587C0C" w:rsidRDefault="00587C0C" w:rsidP="00587C0C">
      <w:pPr>
        <w:pStyle w:val="Testonotadichiusura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proofErr w:type="spellStart"/>
      <w:r w:rsidRPr="00587C0C">
        <w:rPr>
          <w:rFonts w:ascii="Times New Roman" w:hAnsi="Times New Roman" w:cs="Times New Roman"/>
          <w:sz w:val="24"/>
          <w:szCs w:val="24"/>
        </w:rPr>
        <w:t>Kokubo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, T.,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Kushitani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, H.,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Abe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, Y., “Apatite coating on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various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substrates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simulated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body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fluids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Bioceramics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1989, 2, 235–42.</w:t>
      </w:r>
    </w:p>
    <w:p w14:paraId="5CB6142C" w14:textId="1BFC3100" w:rsidR="000A35E8" w:rsidRPr="00587C0C" w:rsidRDefault="000A35E8" w:rsidP="00587C0C">
      <w:pPr>
        <w:pStyle w:val="Testonotadichiusura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587C0C">
        <w:rPr>
          <w:rFonts w:ascii="Times New Roman" w:hAnsi="Times New Roman" w:cs="Times New Roman"/>
          <w:sz w:val="24"/>
          <w:szCs w:val="24"/>
        </w:rPr>
        <w:t xml:space="preserve">Bigi, A.,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Boanini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, E., Bracci, B., Facchini, A., Panzavolta, S.,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Segatti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>, F., Sturba, L., “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Nanocrystalline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hydroxyapatite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coatings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titanium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: A new fast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biomimetic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method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Biomaterials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>, 2005, 26, 4085-4089</w:t>
      </w:r>
      <w:r w:rsidRPr="00587C0C">
        <w:rPr>
          <w:rFonts w:ascii="Times New Roman" w:hAnsi="Times New Roman" w:cs="Times New Roman"/>
          <w:sz w:val="24"/>
          <w:szCs w:val="24"/>
        </w:rPr>
        <w:t>.</w:t>
      </w:r>
    </w:p>
    <w:p w14:paraId="5F5CB80F" w14:textId="6AE75AF3" w:rsidR="000A35E8" w:rsidRPr="00587C0C" w:rsidRDefault="000A35E8" w:rsidP="00587C0C">
      <w:pPr>
        <w:pStyle w:val="Testonotadichiusura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587C0C">
        <w:rPr>
          <w:rFonts w:ascii="Times New Roman" w:hAnsi="Times New Roman" w:cs="Times New Roman"/>
          <w:sz w:val="24"/>
          <w:szCs w:val="24"/>
        </w:rPr>
        <w:t xml:space="preserve">Sergia, R.,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Belluccia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, D., Candidato Jr, R.T.,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Lusvarghi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, L.,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Bolelli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, G.,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Pawlowskic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, L.,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Candiani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, G.,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Altomare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, L., De Nardo, L.,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Cannillo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>, V. “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Bioactive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Zn-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doped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hydroxyapatite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lastRenderedPageBreak/>
        <w:t>coatings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antibacterial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efficacy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against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Escherichia coli and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Staphylococcus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aureus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” Surface and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Coatings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Technology, 2018, 352, 84-91</w:t>
      </w:r>
      <w:r w:rsidRPr="00587C0C">
        <w:rPr>
          <w:rFonts w:ascii="Times New Roman" w:hAnsi="Times New Roman" w:cs="Times New Roman"/>
          <w:sz w:val="24"/>
          <w:szCs w:val="24"/>
        </w:rPr>
        <w:t>.</w:t>
      </w:r>
    </w:p>
    <w:p w14:paraId="4898FC69" w14:textId="7BA91D8F" w:rsidR="000A35E8" w:rsidRPr="00587C0C" w:rsidRDefault="000A35E8" w:rsidP="00587C0C">
      <w:pPr>
        <w:pStyle w:val="Testonotadichiusura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proofErr w:type="spellStart"/>
      <w:r w:rsidRPr="00587C0C">
        <w:rPr>
          <w:rFonts w:ascii="Times New Roman" w:hAnsi="Times New Roman" w:cs="Times New Roman"/>
          <w:sz w:val="24"/>
          <w:szCs w:val="24"/>
        </w:rPr>
        <w:t>Wang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, X., Fan, H., Zhang, F., Zhao, S.,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Liu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, Y.,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Xu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, Y.,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Wu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, R., Li, D., Yang, Y.,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Liao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, L.,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Zhu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, H.,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Wang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>, X., “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Antibacterial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Properties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Bilayer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Biomimetic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Nano-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ZnO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Dental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Implants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”, ACS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Biomater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. Sci.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Eng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>., 2020, 6, 1880-86</w:t>
      </w:r>
      <w:r w:rsidRPr="00587C0C">
        <w:rPr>
          <w:rFonts w:ascii="Times New Roman" w:hAnsi="Times New Roman" w:cs="Times New Roman"/>
          <w:sz w:val="24"/>
          <w:szCs w:val="24"/>
        </w:rPr>
        <w:t>.</w:t>
      </w:r>
    </w:p>
    <w:p w14:paraId="21DFF14F" w14:textId="36DE51A8" w:rsidR="000A35E8" w:rsidRPr="00587C0C" w:rsidRDefault="000A35E8" w:rsidP="00587C0C">
      <w:pPr>
        <w:pStyle w:val="Testonotadichiusura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proofErr w:type="spellStart"/>
      <w:r w:rsidRPr="00587C0C">
        <w:rPr>
          <w:rFonts w:ascii="Times New Roman" w:hAnsi="Times New Roman" w:cs="Times New Roman"/>
          <w:sz w:val="24"/>
          <w:szCs w:val="24"/>
        </w:rPr>
        <w:t>Ohtsu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, N.,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Kakuchi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, Y.,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Ohtsuki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>, T., “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Antibacterial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effect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zinc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oxide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hydroxyapatite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coatings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prepared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chemical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solution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deposition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Applied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Surface Science, 2018, 445, 596-600</w:t>
      </w:r>
      <w:r w:rsidRPr="00587C0C">
        <w:rPr>
          <w:rFonts w:ascii="Times New Roman" w:hAnsi="Times New Roman" w:cs="Times New Roman"/>
          <w:sz w:val="24"/>
          <w:szCs w:val="24"/>
        </w:rPr>
        <w:t>.</w:t>
      </w:r>
    </w:p>
    <w:p w14:paraId="09EF778C" w14:textId="282E5098" w:rsidR="000A35E8" w:rsidRPr="00587C0C" w:rsidRDefault="000A35E8" w:rsidP="00587C0C">
      <w:pPr>
        <w:pStyle w:val="Testonotadichiusura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587C0C">
        <w:rPr>
          <w:rFonts w:ascii="Times New Roman" w:hAnsi="Times New Roman" w:cs="Times New Roman"/>
          <w:sz w:val="24"/>
          <w:szCs w:val="24"/>
        </w:rPr>
        <w:t xml:space="preserve">Zhang, Y.,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Liu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, X., Li, Z.,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Zhu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, S., Yuan, X., Cui, Z., Yang, X.,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Chu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, P.K.,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Wu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>, S., “Nano Ag/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ZnO-Incorporated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Hydroxyapatite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Composite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Coatings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: Highly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Effective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Infection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Prevention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Excellent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Osteointegration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”, ACS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Applied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Materials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Interfaces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>, 2018, 10, 1266-1277</w:t>
      </w:r>
      <w:r w:rsidRPr="00587C0C">
        <w:rPr>
          <w:rFonts w:ascii="Times New Roman" w:hAnsi="Times New Roman" w:cs="Times New Roman"/>
          <w:sz w:val="24"/>
          <w:szCs w:val="24"/>
        </w:rPr>
        <w:t>.</w:t>
      </w:r>
    </w:p>
    <w:p w14:paraId="13D698EF" w14:textId="7BB6BC17" w:rsidR="000A35E8" w:rsidRPr="00587C0C" w:rsidRDefault="000A35E8" w:rsidP="00587C0C">
      <w:pPr>
        <w:pStyle w:val="Testonotadichiusura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proofErr w:type="spellStart"/>
      <w:r w:rsidRPr="00587C0C">
        <w:rPr>
          <w:rFonts w:ascii="Times New Roman" w:hAnsi="Times New Roman" w:cs="Times New Roman"/>
          <w:sz w:val="24"/>
          <w:szCs w:val="24"/>
        </w:rPr>
        <w:t>Raghupathi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, K.R.,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Koodali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>, R.T., Manna C.T., “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Size-Dependent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Bacterial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Growth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Inhibition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Mechanism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Antibacterial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Activity of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Zinc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Oxide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Nanoparticles”,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Langmuir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>, 2011, 27, 4020–4028.</w:t>
      </w:r>
    </w:p>
    <w:p w14:paraId="2C5AB0EC" w14:textId="777A3ABE" w:rsidR="000A35E8" w:rsidRPr="00587C0C" w:rsidRDefault="000A35E8" w:rsidP="00587C0C">
      <w:pPr>
        <w:pStyle w:val="Testonotadichiusura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proofErr w:type="spellStart"/>
      <w:r w:rsidRPr="00587C0C">
        <w:rPr>
          <w:rFonts w:ascii="Times New Roman" w:hAnsi="Times New Roman" w:cs="Times New Roman"/>
          <w:sz w:val="24"/>
          <w:szCs w:val="24"/>
        </w:rPr>
        <w:t>Obaid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, G.,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Broekgaarden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, M.,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Bulin,A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.-L., Huang, H.-C.,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Kuriakose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, J.,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Liu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, J.,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Hasan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>, T., “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Photonanomedicine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: a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convergence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photodynamic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therapy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nanotechnology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>”, Nanoscale, 2016, 8, 12471-12503</w:t>
      </w:r>
      <w:r w:rsidRPr="00587C0C">
        <w:rPr>
          <w:rFonts w:ascii="Times New Roman" w:hAnsi="Times New Roman" w:cs="Times New Roman"/>
          <w:sz w:val="24"/>
          <w:szCs w:val="24"/>
        </w:rPr>
        <w:t>.</w:t>
      </w:r>
    </w:p>
    <w:p w14:paraId="272C9438" w14:textId="3E26B6C2" w:rsidR="000A35E8" w:rsidRPr="00587C0C" w:rsidRDefault="000A35E8" w:rsidP="00587C0C">
      <w:pPr>
        <w:pStyle w:val="Testonotadichiusura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proofErr w:type="spellStart"/>
      <w:r w:rsidRPr="00587C0C">
        <w:rPr>
          <w:rFonts w:ascii="Times New Roman" w:hAnsi="Times New Roman" w:cs="Times New Roman"/>
          <w:sz w:val="24"/>
          <w:szCs w:val="24"/>
        </w:rPr>
        <w:t>Xingshu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Li, X., Lee, S.,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Yoon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, J., “Supramolecular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photosensitizers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rejuvenate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photodynamic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therapy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Chem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Soc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>. Rev., 2018, 47, 1174-1188</w:t>
      </w:r>
      <w:r w:rsidRPr="00587C0C">
        <w:rPr>
          <w:rFonts w:ascii="Times New Roman" w:hAnsi="Times New Roman" w:cs="Times New Roman"/>
          <w:sz w:val="24"/>
          <w:szCs w:val="24"/>
        </w:rPr>
        <w:t>.</w:t>
      </w:r>
    </w:p>
    <w:p w14:paraId="6E3DFCD3" w14:textId="29161A19" w:rsidR="000A35E8" w:rsidRPr="00587C0C" w:rsidRDefault="000A35E8" w:rsidP="00587C0C">
      <w:pPr>
        <w:pStyle w:val="Testonotadichiusura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proofErr w:type="spellStart"/>
      <w:r w:rsidRPr="00587C0C">
        <w:rPr>
          <w:rFonts w:ascii="Times New Roman" w:hAnsi="Times New Roman" w:cs="Times New Roman"/>
          <w:sz w:val="24"/>
          <w:szCs w:val="24"/>
        </w:rPr>
        <w:t>Dharmaratne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, P.,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Sapugahawatte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, D. N.,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Wang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, B., Chan, C.L.,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Lau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, K.-M.,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Lau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, C., Fung, K.P.,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Ng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>, D. K., IP, M., “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Contemporary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approaches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and future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perspectives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antibacterial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photodynamic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therapy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aPDT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against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methicillin-resistant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Staphylococcus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aureus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(MRSA): A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systematic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review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Eur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. J.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Med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Chem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>., 2020, 200, 112341</w:t>
      </w:r>
      <w:r w:rsidRPr="00587C0C">
        <w:rPr>
          <w:rFonts w:ascii="Times New Roman" w:hAnsi="Times New Roman" w:cs="Times New Roman"/>
          <w:sz w:val="24"/>
          <w:szCs w:val="24"/>
        </w:rPr>
        <w:t>.</w:t>
      </w:r>
    </w:p>
    <w:p w14:paraId="505FBBEB" w14:textId="3E899E42" w:rsidR="000A35E8" w:rsidRPr="000A35E8" w:rsidRDefault="000A35E8" w:rsidP="00587C0C">
      <w:pPr>
        <w:pStyle w:val="Testonotadichiusura"/>
        <w:numPr>
          <w:ilvl w:val="0"/>
          <w:numId w:val="1"/>
        </w:numPr>
        <w:spacing w:line="360" w:lineRule="auto"/>
        <w:jc w:val="both"/>
      </w:pPr>
      <w:r w:rsidRPr="00587C0C">
        <w:rPr>
          <w:rFonts w:ascii="Times New Roman" w:hAnsi="Times New Roman" w:cs="Times New Roman"/>
          <w:sz w:val="24"/>
          <w:szCs w:val="24"/>
        </w:rPr>
        <w:t>Montalti, M., Prodi, L., Rampazzo, E., Zaccheroni, N., “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Dye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Doped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Silica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Nanoparticles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as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Luminescent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Organized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 Systems for Nanomedicine”,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Chem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7C0C">
        <w:rPr>
          <w:rFonts w:ascii="Times New Roman" w:hAnsi="Times New Roman" w:cs="Times New Roman"/>
          <w:sz w:val="24"/>
          <w:szCs w:val="24"/>
        </w:rPr>
        <w:t>Soc</w:t>
      </w:r>
      <w:proofErr w:type="spellEnd"/>
      <w:r w:rsidRPr="00587C0C">
        <w:rPr>
          <w:rFonts w:ascii="Times New Roman" w:hAnsi="Times New Roman" w:cs="Times New Roman"/>
          <w:sz w:val="24"/>
          <w:szCs w:val="24"/>
        </w:rPr>
        <w:t>. Rev., 2014, 43, 4243-4268</w:t>
      </w:r>
      <w:r w:rsidRPr="00587C0C">
        <w:rPr>
          <w:rFonts w:ascii="Times New Roman" w:hAnsi="Times New Roman" w:cs="Times New Roman"/>
          <w:sz w:val="24"/>
          <w:szCs w:val="24"/>
        </w:rPr>
        <w:t>.</w:t>
      </w:r>
    </w:p>
    <w:sectPr w:rsidR="000A35E8" w:rsidRPr="000A35E8" w:rsidSect="00795BCC">
      <w:endnotePr>
        <w:numFmt w:val="decimal"/>
      </w:endnotePr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45681" w14:textId="77777777" w:rsidR="00E67DC3" w:rsidRDefault="00E67DC3" w:rsidP="008740E7">
      <w:r>
        <w:separator/>
      </w:r>
    </w:p>
  </w:endnote>
  <w:endnote w:type="continuationSeparator" w:id="0">
    <w:p w14:paraId="0C5F2B72" w14:textId="77777777" w:rsidR="00E67DC3" w:rsidRDefault="00E67DC3" w:rsidP="008740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0EAEF" w14:textId="77777777" w:rsidR="00E67DC3" w:rsidRDefault="00E67DC3" w:rsidP="008740E7">
      <w:r>
        <w:separator/>
      </w:r>
    </w:p>
  </w:footnote>
  <w:footnote w:type="continuationSeparator" w:id="0">
    <w:p w14:paraId="26FD1D9B" w14:textId="77777777" w:rsidR="00E67DC3" w:rsidRDefault="00E67DC3" w:rsidP="008740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9A63A7"/>
    <w:multiLevelType w:val="hybridMultilevel"/>
    <w:tmpl w:val="9CD293A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6"/>
  <w:proofState w:spelling="clean"/>
  <w:defaultTabStop w:val="708"/>
  <w:hyphenationZone w:val="283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AC3"/>
    <w:rsid w:val="000100C3"/>
    <w:rsid w:val="0006630E"/>
    <w:rsid w:val="000A35E8"/>
    <w:rsid w:val="002020BD"/>
    <w:rsid w:val="002F76EC"/>
    <w:rsid w:val="00365AC3"/>
    <w:rsid w:val="0036741E"/>
    <w:rsid w:val="004426DA"/>
    <w:rsid w:val="005223B8"/>
    <w:rsid w:val="00587C0C"/>
    <w:rsid w:val="005F4A8B"/>
    <w:rsid w:val="006050D6"/>
    <w:rsid w:val="006F037B"/>
    <w:rsid w:val="00773D94"/>
    <w:rsid w:val="00795BCC"/>
    <w:rsid w:val="007A7DE0"/>
    <w:rsid w:val="00852554"/>
    <w:rsid w:val="008740E7"/>
    <w:rsid w:val="00961595"/>
    <w:rsid w:val="00A65B9A"/>
    <w:rsid w:val="00CF296E"/>
    <w:rsid w:val="00E67DC3"/>
    <w:rsid w:val="00EC239C"/>
    <w:rsid w:val="00F90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6A73258"/>
  <w15:chartTrackingRefBased/>
  <w15:docId w15:val="{F108D5CF-0659-0A43-AB28-A0812962A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A7DE0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A7DE0"/>
    <w:rPr>
      <w:rFonts w:ascii="Times New Roman" w:hAnsi="Times New Roman" w:cs="Times New Roman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740E7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740E7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740E7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unhideWhenUsed/>
    <w:rsid w:val="008740E7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8740E7"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8740E7"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0A35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1169</Words>
  <Characters>6669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Prodi</dc:creator>
  <cp:keywords/>
  <dc:description/>
  <cp:lastModifiedBy>Luca Prodi</cp:lastModifiedBy>
  <cp:revision>7</cp:revision>
  <dcterms:created xsi:type="dcterms:W3CDTF">2021-07-19T11:55:00Z</dcterms:created>
  <dcterms:modified xsi:type="dcterms:W3CDTF">2021-07-19T15:36:00Z</dcterms:modified>
</cp:coreProperties>
</file>